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53" w:rsidRPr="00F039EB" w:rsidRDefault="00577C53">
      <w:pPr>
        <w:pStyle w:val="ConsPlusNormal"/>
        <w:ind w:firstLine="540"/>
        <w:jc w:val="both"/>
        <w:outlineLvl w:val="0"/>
      </w:pPr>
    </w:p>
    <w:p w:rsidR="00577C53" w:rsidRPr="00F039EB" w:rsidRDefault="009250EB">
      <w:pPr>
        <w:pStyle w:val="ConsPlusTitle"/>
        <w:jc w:val="center"/>
        <w:outlineLvl w:val="0"/>
      </w:pPr>
      <w:r w:rsidRPr="00F039EB">
        <w:t>ПРАВИТЕЛЬСТВО РОССИЙСКОЙ ФЕДЕРАЦИИ</w:t>
      </w:r>
    </w:p>
    <w:p w:rsidR="00577C53" w:rsidRPr="00F039EB" w:rsidRDefault="00577C53">
      <w:pPr>
        <w:pStyle w:val="ConsPlusTitle"/>
        <w:jc w:val="center"/>
      </w:pPr>
    </w:p>
    <w:p w:rsidR="00577C53" w:rsidRPr="00F039EB" w:rsidRDefault="009250EB">
      <w:pPr>
        <w:pStyle w:val="ConsPlusTitle"/>
        <w:jc w:val="center"/>
      </w:pPr>
      <w:r w:rsidRPr="00F039EB">
        <w:t>РАСПОРЯЖЕНИЕ</w:t>
      </w:r>
    </w:p>
    <w:p w:rsidR="00577C53" w:rsidRPr="00F039EB" w:rsidRDefault="009250EB">
      <w:pPr>
        <w:pStyle w:val="ConsPlusTitle"/>
        <w:jc w:val="center"/>
      </w:pPr>
      <w:r w:rsidRPr="00F039EB">
        <w:t>от 17 апреля 2019 г. N 768-р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Normal"/>
        <w:ind w:firstLine="540"/>
        <w:jc w:val="both"/>
      </w:pPr>
      <w:r w:rsidRPr="00F039EB">
        <w:t xml:space="preserve">1. Утвердить прилагаемый </w:t>
      </w:r>
      <w:hyperlink w:anchor="Par32" w:tooltip="СТАНДАРТ" w:history="1">
        <w:r w:rsidRPr="00F039EB">
          <w:t>стандарт</w:t>
        </w:r>
      </w:hyperlink>
      <w:r w:rsidRPr="00F039EB">
        <w:t xml:space="preserve"> развития конкуренции в субъектах Российской Федерации (далее - стандарт).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2. Рекомендовать: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органам исполнител</w:t>
      </w:r>
      <w:bookmarkStart w:id="0" w:name="_GoBack"/>
      <w:bookmarkEnd w:id="0"/>
      <w:r w:rsidRPr="00F039EB">
        <w:t xml:space="preserve">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ar32" w:tooltip="СТАНДАРТ" w:history="1">
        <w:r w:rsidRPr="00F039EB">
          <w:t>стандарта</w:t>
        </w:r>
      </w:hyperlink>
      <w:r w:rsidRPr="00F039EB">
        <w:t>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субъектам естественных монополий руководствоваться положениями </w:t>
      </w:r>
      <w:hyperlink w:anchor="Par32" w:tooltip="СТАНДАРТ" w:history="1">
        <w:r w:rsidRPr="00F039EB">
          <w:t>стандарта</w:t>
        </w:r>
      </w:hyperlink>
      <w:r w:rsidRPr="00F039EB">
        <w:t xml:space="preserve"> в рамках раскрытия информации о своей деятельности.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ar32" w:tooltip="СТАНДАРТ" w:history="1">
        <w:r w:rsidRPr="00F039EB">
          <w:t>стандарту</w:t>
        </w:r>
      </w:hyperlink>
      <w:r w:rsidRPr="00F039EB">
        <w:t>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4. Минэкономразвития России: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образовать межведомственную рабочую группу по вопросам реализации положений </w:t>
      </w:r>
      <w:hyperlink w:anchor="Par32" w:tooltip="СТАНДАРТ" w:history="1">
        <w:r w:rsidRPr="00F039EB">
          <w:t>стандарта</w:t>
        </w:r>
      </w:hyperlink>
      <w:r w:rsidRPr="00F039EB">
        <w:t>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представлять </w:t>
      </w:r>
      <w:proofErr w:type="gramStart"/>
      <w:r w:rsidRPr="00F039EB"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 w:rsidRPr="00F039EB">
        <w:t xml:space="preserve">, одобренные межведомственной рабочей группой по вопросам реализации положений </w:t>
      </w:r>
      <w:hyperlink w:anchor="Par32" w:tooltip="СТАНДАРТ" w:history="1">
        <w:r w:rsidRPr="00F039EB">
          <w:t>стандарта</w:t>
        </w:r>
      </w:hyperlink>
      <w:r w:rsidRPr="00F039EB">
        <w:t>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ar32" w:tooltip="СТАНДАРТ" w:history="1">
        <w:r w:rsidRPr="00F039EB">
          <w:t>стандарта</w:t>
        </w:r>
      </w:hyperlink>
      <w:r w:rsidRPr="00F039EB"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5. Признать утратившими силу: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hyperlink r:id="rId7" w:history="1">
        <w:r w:rsidRPr="00F039EB">
          <w:t>распоряжение</w:t>
        </w:r>
      </w:hyperlink>
      <w:r w:rsidRPr="00F039EB"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hyperlink r:id="rId8" w:history="1">
        <w:r w:rsidRPr="00F039EB">
          <w:t>распоряжение</w:t>
        </w:r>
      </w:hyperlink>
      <w:r w:rsidRPr="00F039EB"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9250EB">
      <w:pPr>
        <w:pStyle w:val="ConsPlusNormal"/>
        <w:jc w:val="right"/>
      </w:pPr>
      <w:r w:rsidRPr="00F039EB">
        <w:t>Председатель Правительства</w:t>
      </w:r>
    </w:p>
    <w:p w:rsidR="00577C53" w:rsidRPr="00F039EB" w:rsidRDefault="009250EB">
      <w:pPr>
        <w:pStyle w:val="ConsPlusNormal"/>
        <w:jc w:val="right"/>
      </w:pPr>
      <w:r w:rsidRPr="00F039EB">
        <w:t>Российской Федерации</w:t>
      </w:r>
    </w:p>
    <w:p w:rsidR="00577C53" w:rsidRPr="00F039EB" w:rsidRDefault="009250EB">
      <w:pPr>
        <w:pStyle w:val="ConsPlusNormal"/>
        <w:jc w:val="right"/>
      </w:pPr>
      <w:r w:rsidRPr="00F039EB">
        <w:t>Д.МЕДВЕДЕВ</w:t>
      </w: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577C53">
      <w:pPr>
        <w:pStyle w:val="ConsPlusNormal"/>
        <w:ind w:firstLine="540"/>
        <w:jc w:val="both"/>
      </w:pPr>
    </w:p>
    <w:p w:rsidR="00DF55DC" w:rsidRPr="00F039EB" w:rsidRDefault="00DF55DC">
      <w:pPr>
        <w:pStyle w:val="ConsPlusNormal"/>
        <w:jc w:val="right"/>
        <w:outlineLvl w:val="0"/>
      </w:pPr>
    </w:p>
    <w:p w:rsidR="00DF55DC" w:rsidRPr="00F039EB" w:rsidRDefault="00DF55DC">
      <w:pPr>
        <w:pStyle w:val="ConsPlusNormal"/>
        <w:jc w:val="right"/>
        <w:outlineLvl w:val="0"/>
      </w:pPr>
    </w:p>
    <w:p w:rsidR="00577C53" w:rsidRPr="00F039EB" w:rsidRDefault="009250EB">
      <w:pPr>
        <w:pStyle w:val="ConsPlusNormal"/>
        <w:jc w:val="right"/>
        <w:outlineLvl w:val="0"/>
      </w:pPr>
      <w:r w:rsidRPr="00F039EB">
        <w:lastRenderedPageBreak/>
        <w:t>Утвержден</w:t>
      </w:r>
    </w:p>
    <w:p w:rsidR="00577C53" w:rsidRPr="00F039EB" w:rsidRDefault="009250EB">
      <w:pPr>
        <w:pStyle w:val="ConsPlusNormal"/>
        <w:jc w:val="right"/>
      </w:pPr>
      <w:r w:rsidRPr="00F039EB">
        <w:t>распоряжением Правительства</w:t>
      </w:r>
    </w:p>
    <w:p w:rsidR="00577C53" w:rsidRPr="00F039EB" w:rsidRDefault="009250EB">
      <w:pPr>
        <w:pStyle w:val="ConsPlusNormal"/>
        <w:jc w:val="right"/>
      </w:pPr>
      <w:r w:rsidRPr="00F039EB">
        <w:t>Российской Федерации</w:t>
      </w:r>
    </w:p>
    <w:p w:rsidR="00577C53" w:rsidRPr="00F039EB" w:rsidRDefault="009250EB">
      <w:pPr>
        <w:pStyle w:val="ConsPlusNormal"/>
        <w:jc w:val="right"/>
      </w:pPr>
      <w:r w:rsidRPr="00F039EB">
        <w:t>от 17 апреля 2019 г. N 768-р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Title"/>
        <w:jc w:val="center"/>
      </w:pPr>
      <w:bookmarkStart w:id="1" w:name="Par32"/>
      <w:bookmarkEnd w:id="1"/>
      <w:r w:rsidRPr="00F039EB">
        <w:t>СТАНДАРТ</w:t>
      </w:r>
    </w:p>
    <w:p w:rsidR="00577C53" w:rsidRPr="00F039EB" w:rsidRDefault="009250EB">
      <w:pPr>
        <w:pStyle w:val="ConsPlusTitle"/>
        <w:jc w:val="center"/>
      </w:pPr>
      <w:r w:rsidRPr="00F039EB">
        <w:t>РАЗВИТИЯ КОНКУРЕНЦИИ В СУБЪЕКТАХ РОССИЙСКОЙ ФЕДЕРАЦИИ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Title"/>
        <w:jc w:val="center"/>
        <w:outlineLvl w:val="1"/>
      </w:pPr>
      <w:r w:rsidRPr="00F039EB">
        <w:t>I. Общие положения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Normal"/>
        <w:ind w:firstLine="540"/>
        <w:jc w:val="both"/>
      </w:pPr>
      <w:r w:rsidRPr="00F039EB">
        <w:t>1. Стандарт развития конкуренции в субъектах Российской Федерации (далее соответственно - стандарт, конкуренция) разработан в рамках реализации пункта 7 и подпункта "в" пункта 8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2. Целями стандарта являются: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б) содействие формированию прозрачной системы </w:t>
      </w:r>
      <w:proofErr w:type="gramStart"/>
      <w:r w:rsidRPr="00F039EB">
        <w:t>работы органов исполнительной власти субъектов Российской Федерации</w:t>
      </w:r>
      <w:proofErr w:type="gramEnd"/>
      <w:r w:rsidRPr="00F039EB"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е) повышение доступности финансовых услуг для субъектов экономической деятельности;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ж) преодоление и минимизация влияния несовершенной конкуренции на инфляцию;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 w:rsidRPr="00F039EB"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3. Принципами внедрения стандарта являются: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lastRenderedPageBreak/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 w:rsidRPr="00F039EB">
        <w:t xml:space="preserve"> </w:t>
      </w:r>
      <w:proofErr w:type="gramStart"/>
      <w:r w:rsidRPr="00F039EB">
        <w:t>целом</w:t>
      </w:r>
      <w:proofErr w:type="gramEnd"/>
      <w:r w:rsidRPr="00F039EB">
        <w:t>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F039EB">
        <w:t>деятельности органов исполнительной власти субъекта Российской Федерации</w:t>
      </w:r>
      <w:proofErr w:type="gramEnd"/>
      <w:r w:rsidRPr="00F039EB">
        <w:t xml:space="preserve"> для результативной и эффективной реализации стандарта;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в) системный подход - совершенствование </w:t>
      </w:r>
      <w:proofErr w:type="gramStart"/>
      <w:r w:rsidRPr="00F039EB">
        <w:t>деятельности органов исполнительной власти субъекта Российской Федерации</w:t>
      </w:r>
      <w:proofErr w:type="gramEnd"/>
      <w:r w:rsidRPr="00F039EB"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F039EB">
        <w:t>взаимодействия органов исполнительной власти субъекта Российской Федерации</w:t>
      </w:r>
      <w:proofErr w:type="gramEnd"/>
      <w:r w:rsidRPr="00F039EB"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5. </w:t>
      </w:r>
      <w:proofErr w:type="gramStart"/>
      <w:r w:rsidRPr="00F039EB"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 w:rsidRPr="00F039EB">
        <w:t xml:space="preserve"> приоритетной программы по внедрению стандарта, утверждаемой высшим должностным лицом.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 xml:space="preserve"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</w:t>
      </w:r>
      <w:r w:rsidRPr="00F039EB">
        <w:lastRenderedPageBreak/>
        <w:t>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 w:rsidRPr="00F039EB">
        <w:t xml:space="preserve"> положения о структурных подразделениях.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6. </w:t>
      </w:r>
      <w:proofErr w:type="gramStart"/>
      <w:r w:rsidRPr="00F039EB">
        <w:t>Для достижения целей стандарта и соблюдения принципов его внедрения, формирования перечня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 w:rsidRPr="00F039EB"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7. </w:t>
      </w:r>
      <w:proofErr w:type="gramStart"/>
      <w:r w:rsidRPr="00F039EB"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8. </w:t>
      </w:r>
      <w:proofErr w:type="gramStart"/>
      <w:r w:rsidRPr="00F039EB"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 w:rsidRPr="00F039EB">
        <w:t xml:space="preserve"> власти субъекта Российской Федерации и органов местного самоуправления.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Title"/>
        <w:jc w:val="center"/>
        <w:outlineLvl w:val="1"/>
      </w:pPr>
      <w:r w:rsidRPr="00F039EB">
        <w:t>II. Определение уполномоченного органа</w:t>
      </w: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9250EB">
      <w:pPr>
        <w:pStyle w:val="ConsPlusNormal"/>
        <w:ind w:firstLine="540"/>
        <w:jc w:val="both"/>
      </w:pPr>
      <w:r w:rsidRPr="00F039EB">
        <w:t>9. Уполномоченный орган определяется из числа органов исполнительной власти субъекта Российской Федерации.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10. Уполномоченный орган осуществляет следующие полномочия: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в) разрабатывает проект "дорожной карты" и представляет его на рассмотрение и утверждение </w:t>
      </w:r>
      <w:r w:rsidRPr="00F039EB">
        <w:lastRenderedPageBreak/>
        <w:t>высшему должностному лицу;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в) обеспечивают единство целей и направлений </w:t>
      </w:r>
      <w:proofErr w:type="gramStart"/>
      <w:r w:rsidRPr="00F039EB">
        <w:t>деятельности органов исполнительной власти субъекта Российской Федерации</w:t>
      </w:r>
      <w:proofErr w:type="gramEnd"/>
      <w:r w:rsidRPr="00F039EB">
        <w:t xml:space="preserve"> и органов местного самоуправления;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9250EB">
      <w:pPr>
        <w:pStyle w:val="ConsPlusTitle"/>
        <w:jc w:val="center"/>
        <w:outlineLvl w:val="1"/>
      </w:pPr>
      <w:r w:rsidRPr="00F039EB">
        <w:t>III. Рассмотрение вопросов содействия развитию конкуренции</w:t>
      </w:r>
    </w:p>
    <w:p w:rsidR="00577C53" w:rsidRPr="00F039EB" w:rsidRDefault="009250EB">
      <w:pPr>
        <w:pStyle w:val="ConsPlusTitle"/>
        <w:jc w:val="center"/>
      </w:pPr>
      <w:r w:rsidRPr="00F039EB">
        <w:t>на заседаниях коллегиального органа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Normal"/>
        <w:ind w:firstLine="540"/>
        <w:jc w:val="both"/>
      </w:pPr>
      <w:r w:rsidRPr="00F039EB"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результаты и анализ результатов мониторинга.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представители комиссии по проведению административной реформы в субъекте Российской Федерации;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 w:rsidRPr="00F039EB">
        <w:t>контроля за</w:t>
      </w:r>
      <w:proofErr w:type="gramEnd"/>
      <w:r w:rsidRPr="00F039EB"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lastRenderedPageBreak/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F039EB">
        <w:t>аквакультура</w:t>
      </w:r>
      <w:proofErr w:type="spellEnd"/>
      <w:r w:rsidRPr="00F039EB">
        <w:t xml:space="preserve">, </w:t>
      </w:r>
      <w:proofErr w:type="spellStart"/>
      <w:r w:rsidRPr="00F039EB">
        <w:t>марикультура</w:t>
      </w:r>
      <w:proofErr w:type="spellEnd"/>
      <w:r w:rsidRPr="00F039EB">
        <w:t xml:space="preserve">, товарное рыбоводство, промышленное рыболовство, </w:t>
      </w:r>
      <w:proofErr w:type="spellStart"/>
      <w:r w:rsidRPr="00F039EB">
        <w:t>рыбопереработка</w:t>
      </w:r>
      <w:proofErr w:type="spellEnd"/>
      <w:r w:rsidRPr="00F039EB">
        <w:t xml:space="preserve"> и др.);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л) эксперты и специалисты иных направлений (конструкторы, инженеры, изобретатели, </w:t>
      </w:r>
      <w:proofErr w:type="spellStart"/>
      <w:r w:rsidRPr="00F039EB">
        <w:t>инноваторы</w:t>
      </w:r>
      <w:proofErr w:type="spellEnd"/>
      <w:r w:rsidRPr="00F039EB"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F039EB">
        <w:t>нанотехнологий</w:t>
      </w:r>
      <w:proofErr w:type="spellEnd"/>
      <w:r w:rsidRPr="00F039EB">
        <w:t xml:space="preserve">, альтернативной энергетики и </w:t>
      </w:r>
      <w:proofErr w:type="spellStart"/>
      <w:r w:rsidRPr="00F039EB">
        <w:t>энергоэффективности</w:t>
      </w:r>
      <w:proofErr w:type="spellEnd"/>
      <w:r w:rsidRPr="00F039EB"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м) представители общественных палат субъектов Российской Федерации.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15. В случае необходимости в состав коллегиального органа помимо лиц, указанных в пункте 14 стандарта, могут включаться иные участники (с учетом региональной специфики).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представителей территориальных органов федеральных органов исполнительной власти;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уполномоченного по защите прав предпринимателей в субъекте Российской Федерации;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в) уполномоченного по правам человека в субъекте Российской Федерации;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представителей территориальных учреждений Центрального банка Российской Федерации.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17. Заседания коллегиального органа в очном формате целесообразно проводить не реже одного раза в квартал.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Title"/>
        <w:jc w:val="center"/>
        <w:outlineLvl w:val="1"/>
      </w:pPr>
      <w:r w:rsidRPr="00F039EB">
        <w:t>IV. Утверждение перечня товарных рынков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Normal"/>
        <w:ind w:firstLine="540"/>
        <w:jc w:val="both"/>
      </w:pPr>
      <w:r w:rsidRPr="00F039EB"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21. В перечень товарных рынков включается не менее 33 товарных рынков из перечня </w:t>
      </w:r>
      <w:r w:rsidRPr="00F039EB">
        <w:lastRenderedPageBreak/>
        <w:t>товарных рынков согласно приложению.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 "дорожной карте" предусматриваются соответствующие мероприятия по развитию конкуренции на таких товарных рынках.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23. Разработка перечня товарных рынков </w:t>
      </w:r>
      <w:proofErr w:type="gramStart"/>
      <w:r w:rsidRPr="00F039EB">
        <w:t>осуществляется</w:t>
      </w:r>
      <w:proofErr w:type="gramEnd"/>
      <w:r w:rsidRPr="00F039EB">
        <w:t xml:space="preserve"> в том числе на основе следующих данных: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инвестиционные приоритеты, определяемые субъектом Российской Федерации в установленном им порядке;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lastRenderedPageBreak/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Title"/>
        <w:jc w:val="center"/>
        <w:outlineLvl w:val="1"/>
      </w:pPr>
      <w:r w:rsidRPr="00F039EB">
        <w:t>V. Разработка "дорожной карты"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Normal"/>
        <w:ind w:firstLine="540"/>
        <w:jc w:val="both"/>
      </w:pPr>
      <w:r w:rsidRPr="00F039EB">
        <w:t>26. Утверждение "дорожной карты" осуществляется высшим должностным лицом.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27. "Дорожная карта" разрабатывается на основе анализа результатов мониторинга, лучших практик </w:t>
      </w:r>
      <w:proofErr w:type="gramStart"/>
      <w:r w:rsidRPr="00F039EB">
        <w:t>работы органов исполнительной власти субъектов Российской Федерации</w:t>
      </w:r>
      <w:proofErr w:type="gramEnd"/>
      <w:r w:rsidRPr="00F039EB"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28. При разработке и реализации "дорожной карты", а также при внесении в нее изменений осуществляются: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определение процессов, необходимых для реализации требований по развитию конкуренции;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определение последовательности и взаимодействия этих процессов, а также их приоритетность;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обеспечение ресурсов и информации, необходимых для поддержания этих процессов и их мониторинга;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д) определение принципов и порядка </w:t>
      </w:r>
      <w:proofErr w:type="gramStart"/>
      <w:r w:rsidRPr="00F039EB">
        <w:t>взаимодействия органов исполнительной власти субъекта Российской Федерации</w:t>
      </w:r>
      <w:proofErr w:type="gramEnd"/>
      <w:r w:rsidRPr="00F039EB">
        <w:t xml:space="preserve"> с органами местного самоуправления;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е) мероприятия, необходимые для достижения запланированных результатов.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29. Органы местного самоуправления при наличии соглашения могут быть соисполнителями мероприятий "дорожной карты".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на развитие конкурентоспособности товаров, работ, услуг субъектов малого и среднего предпринимательства;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lastRenderedPageBreak/>
        <w:t>устранение случаев (снижение количества) осуществления закупки у единственного поставщика;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прирост объема закупок у субъектов малого и среднего предпринимательства;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увеличение количества участников закупок из числа субъектов малого и среднего предпринимательства;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экономия средств заказчика за счет участия в закупках субъектов малого и среднего предпринимательства;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"О защите конкуренции";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пунктов, предусматривающих</w:t>
      </w:r>
      <w:proofErr w:type="gramEnd"/>
      <w:r w:rsidRPr="00F039EB"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lastRenderedPageBreak/>
        <w:t xml:space="preserve">д) на совершенствование процессов управления в рамках </w:t>
      </w:r>
      <w:proofErr w:type="gramStart"/>
      <w:r w:rsidRPr="00F039EB">
        <w:t>полномочий органов исполнительной власти субъектов Российской Федерации</w:t>
      </w:r>
      <w:proofErr w:type="gramEnd"/>
      <w:r w:rsidRPr="00F039EB"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F039EB">
        <w:t>содержатся</w:t>
      </w:r>
      <w:proofErr w:type="gramEnd"/>
      <w:r w:rsidRPr="00F039EB"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е) на создание условий для недискриминационного доступа хозяйствующих субъектов на товарные рынки;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 w:rsidRPr="00F039EB"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lastRenderedPageBreak/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 w:rsidRPr="00F039EB"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F039EB">
        <w:t>Ворлдскиллс</w:t>
      </w:r>
      <w:proofErr w:type="spellEnd"/>
      <w:r w:rsidRPr="00F039EB">
        <w:t xml:space="preserve"> Интернешнл (</w:t>
      </w:r>
      <w:proofErr w:type="spellStart"/>
      <w:r w:rsidRPr="00F039EB">
        <w:t>WorldSkills</w:t>
      </w:r>
      <w:proofErr w:type="spellEnd"/>
      <w:r w:rsidRPr="00F039EB">
        <w:t xml:space="preserve"> </w:t>
      </w:r>
      <w:proofErr w:type="spellStart"/>
      <w:r w:rsidRPr="00F039EB">
        <w:t>International</w:t>
      </w:r>
      <w:proofErr w:type="spellEnd"/>
      <w:r w:rsidRPr="00F039EB"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 w:rsidRPr="00F039EB">
        <w:t>Абилимпикс</w:t>
      </w:r>
      <w:proofErr w:type="spellEnd"/>
      <w:r w:rsidRPr="00F039EB">
        <w:t xml:space="preserve"> (</w:t>
      </w:r>
      <w:proofErr w:type="spellStart"/>
      <w:r w:rsidRPr="00F039EB">
        <w:t>International</w:t>
      </w:r>
      <w:proofErr w:type="spellEnd"/>
      <w:r w:rsidRPr="00F039EB">
        <w:t xml:space="preserve"> </w:t>
      </w:r>
      <w:proofErr w:type="spellStart"/>
      <w:r w:rsidRPr="00F039EB">
        <w:t>Abilympic</w:t>
      </w:r>
      <w:proofErr w:type="spellEnd"/>
      <w:r w:rsidRPr="00F039EB">
        <w:t xml:space="preserve"> </w:t>
      </w:r>
      <w:proofErr w:type="spellStart"/>
      <w:r w:rsidRPr="00F039EB">
        <w:t>Federation</w:t>
      </w:r>
      <w:proofErr w:type="spellEnd"/>
      <w:r w:rsidRPr="00F039EB">
        <w:t>);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lastRenderedPageBreak/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ц) на повышение доступности финансовых услуг для субъектов экономической деятельности;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 w:rsidRPr="00F039EB">
        <w:t xml:space="preserve"> субъекта Российской Федерации и органами местного самоуправления.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31. "Дорожная карта" должна содержать следующую информацию: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б) сведения о мероприятиях (с указанием срока их разработки и реализации), обеспечивающих </w:t>
      </w:r>
      <w:r w:rsidRPr="00F039EB">
        <w:lastRenderedPageBreak/>
        <w:t>достижение установленных результатов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(целей);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в) результаты (цели) и ключевые показатели развития конкуренции (с указанием срока их достижения);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г) сведения </w:t>
      </w:r>
      <w:proofErr w:type="gramStart"/>
      <w:r w:rsidRPr="00F039EB">
        <w:t>о</w:t>
      </w:r>
      <w:proofErr w:type="gramEnd"/>
      <w:r w:rsidRPr="00F039EB"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32. Планируется, что мероприятия, предусмотренные "дорожной картой", затронут все сферы </w:t>
      </w:r>
      <w:proofErr w:type="gramStart"/>
      <w:r w:rsidRPr="00F039EB">
        <w:t>деятельности органов исполнительной власти субъекта Российской Федерации</w:t>
      </w:r>
      <w:proofErr w:type="gramEnd"/>
      <w:r w:rsidRPr="00F039EB">
        <w:t xml:space="preserve"> и органов местного самоуправления при возможном взаимодействии по </w:t>
      </w:r>
      <w:proofErr w:type="spellStart"/>
      <w:r w:rsidRPr="00F039EB">
        <w:t>соисполнению</w:t>
      </w:r>
      <w:proofErr w:type="spellEnd"/>
      <w:r w:rsidRPr="00F039EB"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34. С учетом соглашения в "дорожную карту" могут включаться мероприятия в отношении муниципальных образований.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35. </w:t>
      </w:r>
      <w:proofErr w:type="gramStart"/>
      <w:r w:rsidRPr="00F039EB"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Title"/>
        <w:jc w:val="center"/>
        <w:outlineLvl w:val="1"/>
      </w:pPr>
      <w:r w:rsidRPr="00F039EB">
        <w:t>VI. Проведение мониторинга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Normal"/>
        <w:ind w:firstLine="540"/>
        <w:jc w:val="both"/>
      </w:pPr>
      <w:r w:rsidRPr="00F039EB">
        <w:t xml:space="preserve">38. </w:t>
      </w:r>
      <w:proofErr w:type="gramStart"/>
      <w:r w:rsidRPr="00F039EB"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39. Мониторинг включает в себя: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выделение групп субъектов предпринимательской деятельности (малый, средний, крупный </w:t>
      </w:r>
      <w:r w:rsidRPr="00F039EB">
        <w:lastRenderedPageBreak/>
        <w:t>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формирование перечня товарных рынков, на которых присутствуют субъекты естественных монополий;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lastRenderedPageBreak/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 w:rsidRPr="00F039EB">
        <w:t>контроля за</w:t>
      </w:r>
      <w:proofErr w:type="gramEnd"/>
      <w:r w:rsidRPr="00F039EB">
        <w:t xml:space="preserve"> деятельностью субъектов естественных монополий;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 xml:space="preserve">сбор и анализ данных об оказываемых </w:t>
      </w:r>
      <w:proofErr w:type="spellStart"/>
      <w:r w:rsidRPr="00F039EB">
        <w:t>ресурсоснабжающими</w:t>
      </w:r>
      <w:proofErr w:type="spellEnd"/>
      <w:r w:rsidRPr="00F039EB"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 w:rsidRPr="00F039EB">
        <w:t xml:space="preserve">, </w:t>
      </w:r>
      <w:proofErr w:type="gramStart"/>
      <w:r w:rsidRPr="00F039EB"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 w:rsidRPr="00F039EB">
        <w:t>самозанятый</w:t>
      </w:r>
      <w:proofErr w:type="spellEnd"/>
      <w:r w:rsidRPr="00F039EB"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 w:rsidRPr="00F039EB">
        <w:t xml:space="preserve">, </w:t>
      </w:r>
      <w:proofErr w:type="gramStart"/>
      <w:r w:rsidRPr="00F039EB">
        <w:t>результаты</w:t>
      </w:r>
      <w:proofErr w:type="gramEnd"/>
      <w:r w:rsidRPr="00F039EB">
        <w:t xml:space="preserve"> которого ежегодно публикуются на </w:t>
      </w:r>
      <w:r w:rsidRPr="00F039EB">
        <w:lastRenderedPageBreak/>
        <w:t>официальном сайте в сети "Интернет";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 w:rsidRPr="00F039EB">
        <w:t>самозанятый</w:t>
      </w:r>
      <w:proofErr w:type="spellEnd"/>
      <w:r w:rsidRPr="00F039EB"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 w:rsidRPr="00F039EB">
        <w:t xml:space="preserve">, </w:t>
      </w:r>
      <w:proofErr w:type="gramStart"/>
      <w:r w:rsidRPr="00F039EB">
        <w:t>результаты</w:t>
      </w:r>
      <w:proofErr w:type="gramEnd"/>
      <w:r w:rsidRPr="00F039EB">
        <w:t xml:space="preserve"> которого ежегодно публикуются на официальном сайте в сети "Интернет";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з) мониторинг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 w:rsidRPr="00F039EB">
        <w:t xml:space="preserve"> </w:t>
      </w:r>
      <w:proofErr w:type="gramStart"/>
      <w:r w:rsidRPr="00F039EB"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 w:rsidRPr="00F039EB">
        <w:t xml:space="preserve"> и т.п.);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 w:rsidRPr="00F039EB">
        <w:t>хабах</w:t>
      </w:r>
      <w:proofErr w:type="spellEnd"/>
      <w:r w:rsidRPr="00F039EB"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 w:rsidRPr="00F039EB">
        <w:t xml:space="preserve"> в этом сегменте, включая наличие стабильной подвижной радиотелефонной связи на удаленных дорогах;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 w:rsidRPr="00F039EB">
        <w:t>цифровизации</w:t>
      </w:r>
      <w:proofErr w:type="spellEnd"/>
      <w:r w:rsidRPr="00F039EB">
        <w:t xml:space="preserve"> экономики и формирования ее новых рынков и секторов.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40. При проведении мониторинга уполномоченный орган использует в том числе: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 xml:space="preserve"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</w:t>
      </w:r>
      <w:r w:rsidRPr="00F039EB">
        <w:lastRenderedPageBreak/>
        <w:t>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е) показатели, характеризующие состояние экономики и социальной сферы каждого муниципального образования;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ж) информацию о результатах общественного </w:t>
      </w:r>
      <w:proofErr w:type="gramStart"/>
      <w:r w:rsidRPr="00F039EB">
        <w:t>контроля за</w:t>
      </w:r>
      <w:proofErr w:type="gramEnd"/>
      <w:r w:rsidRPr="00F039EB">
        <w:t xml:space="preserve"> деятельностью субъектов естественных монополий;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данные по ожидаемому потребителями темпу роста цен;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</w:t>
      </w:r>
      <w:r w:rsidRPr="00F039EB">
        <w:lastRenderedPageBreak/>
        <w:t>Федерации, имеющих с таким субъектом Российской Федерации общие территориальные границы, или среднероссийским уровнем;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42. Территориальное учреждение Центрального банка Российской Федерации вправе представить в уполномоченный орган указанную в пункте 41 стандарта информацию.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методику мониторинга.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пунктами 39 - 41 стандарта, а также установить критерии: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оценки состояния конкуренции субъектами предпринимательской деятельности;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иные критерии.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44. </w:t>
      </w:r>
      <w:proofErr w:type="gramStart"/>
      <w:r w:rsidRPr="00F039EB"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 w:rsidRPr="00F039EB"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lastRenderedPageBreak/>
        <w:t>46. По результатам мониторинга уполномоченный орган подготавливает проект доклада, содержащий в том числе: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характеристику состояния конкуренции на товарных рынках, включенных в перечень товарных рынков, а также анализ факторов, ограничивающих конкуренцию;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в) информацию о результатах общественного </w:t>
      </w:r>
      <w:proofErr w:type="gramStart"/>
      <w:r w:rsidRPr="00F039EB">
        <w:t>контроля за</w:t>
      </w:r>
      <w:proofErr w:type="gramEnd"/>
      <w:r w:rsidRPr="00F039EB"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г) анализ результативности и эффективности </w:t>
      </w:r>
      <w:proofErr w:type="gramStart"/>
      <w:r w:rsidRPr="00F039EB">
        <w:t>деятельности органов исполнительной власти субъекта Российской Федерации</w:t>
      </w:r>
      <w:proofErr w:type="gramEnd"/>
      <w:r w:rsidRPr="00F039EB"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 w:rsidRPr="00F039EB"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доли достигнутых показателей в общем количестве показателей;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средней суммы фактических значений достижения показателей (процентов плана);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доли выполненных мероприятий в общем количестве мероприятий;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доли выполненных мероприятий в общем количестве мероприятий, по которым приняты корректирующие решения;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lastRenderedPageBreak/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49. </w:t>
      </w:r>
      <w:proofErr w:type="gramStart"/>
      <w:r w:rsidRPr="00F039EB"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 w:rsidRPr="00F039EB">
        <w:t xml:space="preserve"> Российской Федерации.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9250EB">
      <w:pPr>
        <w:pStyle w:val="ConsPlusTitle"/>
        <w:jc w:val="center"/>
        <w:outlineLvl w:val="1"/>
      </w:pPr>
      <w:r w:rsidRPr="00F039EB">
        <w:t xml:space="preserve">VII. Создание и реализация механизмов </w:t>
      </w:r>
      <w:proofErr w:type="gramStart"/>
      <w:r w:rsidRPr="00F039EB">
        <w:t>общественного</w:t>
      </w:r>
      <w:proofErr w:type="gramEnd"/>
    </w:p>
    <w:p w:rsidR="00577C53" w:rsidRPr="00F039EB" w:rsidRDefault="009250EB">
      <w:pPr>
        <w:pStyle w:val="ConsPlusTitle"/>
        <w:jc w:val="center"/>
      </w:pPr>
      <w:proofErr w:type="gramStart"/>
      <w:r w:rsidRPr="00F039EB">
        <w:t>контроля за</w:t>
      </w:r>
      <w:proofErr w:type="gramEnd"/>
      <w:r w:rsidRPr="00F039EB">
        <w:t xml:space="preserve"> деятельностью субъектов естественных монополий</w:t>
      </w: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9250EB">
      <w:pPr>
        <w:pStyle w:val="ConsPlusNormal"/>
        <w:ind w:firstLine="540"/>
        <w:jc w:val="both"/>
      </w:pPr>
      <w:r w:rsidRPr="00F039EB">
        <w:t xml:space="preserve">51. </w:t>
      </w:r>
      <w:proofErr w:type="gramStart"/>
      <w:r w:rsidRPr="00F039EB">
        <w:t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 w:rsidRPr="00F039EB"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 w:rsidRPr="00F039EB">
        <w:t>контроля за</w:t>
      </w:r>
      <w:proofErr w:type="gramEnd"/>
      <w:r w:rsidRPr="00F039EB"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 xml:space="preserve"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</w:t>
      </w:r>
      <w:r w:rsidRPr="00F039EB">
        <w:lastRenderedPageBreak/>
        <w:t>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 w:rsidRPr="00F039EB"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F039EB">
        <w:t>контроль за</w:t>
      </w:r>
      <w:proofErr w:type="gramEnd"/>
      <w:r w:rsidRPr="00F039EB"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F039EB">
        <w:t>контроль за</w:t>
      </w:r>
      <w:proofErr w:type="gramEnd"/>
      <w:r w:rsidRPr="00F039EB"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 w:rsidRPr="00F039EB">
        <w:t xml:space="preserve"> в осуществлении общественного </w:t>
      </w:r>
      <w:proofErr w:type="gramStart"/>
      <w:r w:rsidRPr="00F039EB">
        <w:t>контроля за</w:t>
      </w:r>
      <w:proofErr w:type="gramEnd"/>
      <w:r w:rsidRPr="00F039EB">
        <w:t xml:space="preserve"> деятельностью субъектов естественных монополий;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 w:rsidRPr="00F039EB">
        <w:t xml:space="preserve"> и независимых экспертов;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54. </w:t>
      </w:r>
      <w:proofErr w:type="gramStart"/>
      <w:r w:rsidRPr="00F039EB">
        <w:t>Раскрытие информации, указанной в пункте 53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 w:rsidRPr="00F039EB">
        <w:t xml:space="preserve"> Федерации.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55. При взаимодействии с органами исполнительной власти субъекта Российской Федерации </w:t>
      </w:r>
      <w:r w:rsidRPr="00F039EB">
        <w:lastRenderedPageBreak/>
        <w:t>субъектам естественных монополий рекомендуется обеспечить доступность и наглядность в сети "Интернет":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F039EB">
        <w:t xml:space="preserve"> ее строительства, реконструкции);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 w:rsidRPr="00F039EB"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</w:t>
      </w:r>
      <w:proofErr w:type="spellStart"/>
      <w:r w:rsidRPr="00F039EB">
        <w:t>ресурсоснабжающими</w:t>
      </w:r>
      <w:proofErr w:type="spellEnd"/>
      <w:r w:rsidRPr="00F039EB">
        <w:t xml:space="preserve"> организациями физическим и юридическим лицам.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Title"/>
        <w:jc w:val="center"/>
        <w:outlineLvl w:val="1"/>
      </w:pPr>
      <w:r w:rsidRPr="00F039EB">
        <w:t>VIII. Повышение уровня информированности субъектов</w:t>
      </w:r>
    </w:p>
    <w:p w:rsidR="00577C53" w:rsidRPr="00F039EB" w:rsidRDefault="009250EB">
      <w:pPr>
        <w:pStyle w:val="ConsPlusTitle"/>
        <w:jc w:val="center"/>
      </w:pPr>
      <w:r w:rsidRPr="00F039EB">
        <w:t>предпринимательской деятельности и потребителей товаров,</w:t>
      </w:r>
    </w:p>
    <w:p w:rsidR="00577C53" w:rsidRPr="00F039EB" w:rsidRDefault="009250EB">
      <w:pPr>
        <w:pStyle w:val="ConsPlusTitle"/>
        <w:jc w:val="center"/>
      </w:pPr>
      <w:r w:rsidRPr="00F039EB">
        <w:t>работ, услуг о состоянии конкуренции и деятельности</w:t>
      </w:r>
    </w:p>
    <w:p w:rsidR="00577C53" w:rsidRPr="00F039EB" w:rsidRDefault="009250EB">
      <w:pPr>
        <w:pStyle w:val="ConsPlusTitle"/>
        <w:jc w:val="center"/>
      </w:pPr>
      <w:r w:rsidRPr="00F039EB">
        <w:t>по содействию развитию конкуренции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Normal"/>
        <w:ind w:firstLine="540"/>
        <w:jc w:val="both"/>
      </w:pPr>
      <w:r w:rsidRPr="00F039EB"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 w:rsidRPr="00F039EB">
        <w:t>интернет-портала</w:t>
      </w:r>
      <w:proofErr w:type="gramEnd"/>
      <w:r w:rsidRPr="00F039EB">
        <w:t xml:space="preserve"> об инвестиционной деятельности в субъекте Российской Федерации.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lastRenderedPageBreak/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 w:rsidRPr="00F039EB"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58. </w:t>
      </w:r>
      <w:proofErr w:type="gramStart"/>
      <w:r w:rsidRPr="00F039EB"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proofErr w:type="gramStart"/>
      <w:r w:rsidRPr="00F039EB"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577C53" w:rsidRPr="00F039EB" w:rsidRDefault="009250EB">
      <w:pPr>
        <w:pStyle w:val="ConsPlusNormal"/>
        <w:spacing w:before="240"/>
        <w:ind w:firstLine="540"/>
        <w:jc w:val="both"/>
      </w:pPr>
      <w:r w:rsidRPr="00F039EB">
        <w:t xml:space="preserve">59. В целях общественного </w:t>
      </w:r>
      <w:proofErr w:type="gramStart"/>
      <w:r w:rsidRPr="00F039EB">
        <w:t>контроля за</w:t>
      </w:r>
      <w:proofErr w:type="gramEnd"/>
      <w:r w:rsidRPr="00F039EB">
        <w:t xml:space="preserve">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577C53">
      <w:pPr>
        <w:pStyle w:val="ConsPlusNormal"/>
        <w:ind w:firstLine="540"/>
        <w:jc w:val="both"/>
      </w:pPr>
    </w:p>
    <w:p w:rsidR="00577C53" w:rsidRPr="00F039EB" w:rsidRDefault="009250EB">
      <w:pPr>
        <w:pStyle w:val="ConsPlusNormal"/>
        <w:jc w:val="right"/>
        <w:outlineLvl w:val="1"/>
      </w:pPr>
      <w:r w:rsidRPr="00F039EB">
        <w:t>Приложение</w:t>
      </w:r>
    </w:p>
    <w:p w:rsidR="00577C53" w:rsidRPr="00F039EB" w:rsidRDefault="009250EB">
      <w:pPr>
        <w:pStyle w:val="ConsPlusNormal"/>
        <w:jc w:val="right"/>
      </w:pPr>
      <w:r w:rsidRPr="00F039EB">
        <w:t>к стандарту развития конкуренции</w:t>
      </w:r>
    </w:p>
    <w:p w:rsidR="00577C53" w:rsidRPr="00F039EB" w:rsidRDefault="009250EB">
      <w:pPr>
        <w:pStyle w:val="ConsPlusNormal"/>
        <w:jc w:val="right"/>
      </w:pPr>
      <w:r w:rsidRPr="00F039EB">
        <w:t>в субъектах Российской Федерации</w:t>
      </w:r>
    </w:p>
    <w:p w:rsidR="00577C53" w:rsidRPr="00F039EB" w:rsidRDefault="00577C53">
      <w:pPr>
        <w:pStyle w:val="ConsPlusNormal"/>
        <w:jc w:val="center"/>
      </w:pPr>
    </w:p>
    <w:p w:rsidR="00577C53" w:rsidRPr="00F039EB" w:rsidRDefault="009250EB">
      <w:pPr>
        <w:pStyle w:val="ConsPlusTitle"/>
        <w:jc w:val="center"/>
      </w:pPr>
      <w:r w:rsidRPr="00F039EB">
        <w:t>ПЕРЕЧЕНЬ</w:t>
      </w:r>
    </w:p>
    <w:p w:rsidR="00577C53" w:rsidRPr="00F039EB" w:rsidRDefault="009250EB">
      <w:pPr>
        <w:pStyle w:val="ConsPlusTitle"/>
        <w:jc w:val="center"/>
      </w:pPr>
      <w:r w:rsidRPr="00F039EB">
        <w:t>ТОВАРНЫХ РЫНКОВ ДЛЯ СОДЕЙСТВИЯ РАЗВИТИЮ КОНКУРЕНЦИИ</w:t>
      </w:r>
    </w:p>
    <w:p w:rsidR="00577C53" w:rsidRPr="00F039EB" w:rsidRDefault="009250EB">
      <w:pPr>
        <w:pStyle w:val="ConsPlusTitle"/>
        <w:jc w:val="center"/>
      </w:pPr>
      <w:r w:rsidRPr="00F039EB">
        <w:t>В СУБЪЕКТЕ РОССИЙСКОЙ ФЕДЕРАЦИИ</w:t>
      </w:r>
    </w:p>
    <w:p w:rsidR="00577C53" w:rsidRPr="00F039EB" w:rsidRDefault="00577C5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F039EB" w:rsidRPr="00F039E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77C53" w:rsidRPr="00F039EB" w:rsidRDefault="00577C53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Минимальное значение ключевого показателя в 2022 году</w:t>
            </w:r>
          </w:p>
        </w:tc>
      </w:tr>
      <w:tr w:rsidR="00F039EB" w:rsidRPr="00F039EB">
        <w:tc>
          <w:tcPr>
            <w:tcW w:w="510" w:type="dxa"/>
            <w:tcBorders>
              <w:top w:val="single" w:sz="4" w:space="0" w:color="auto"/>
            </w:tcBorders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77C53" w:rsidRPr="00F039EB" w:rsidRDefault="009250EB">
            <w:pPr>
              <w:pStyle w:val="ConsPlusNormal"/>
            </w:pPr>
            <w:r w:rsidRPr="00F039EB"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77C53" w:rsidRPr="00F039EB" w:rsidRDefault="009250EB">
            <w:pPr>
              <w:pStyle w:val="ConsPlusNormal"/>
            </w:pPr>
            <w:r w:rsidRPr="00F039EB"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1,6, но не менее 1 частной организации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услуг общего образования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1, но не менее 1 частной организации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услуг среднего профессионального образования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5, но не менее 1 частной организации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4.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услуг дополнительного образования детей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5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5.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услуг детского отдыха и оздоровления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6.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 xml:space="preserve">Рынок </w:t>
            </w:r>
            <w:r w:rsidRPr="00F039EB">
              <w:lastRenderedPageBreak/>
              <w:t>медицинских услуг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lastRenderedPageBreak/>
              <w:t xml:space="preserve">доля медицинских организаций частной </w:t>
            </w:r>
            <w:r w:rsidRPr="00F039EB">
              <w:lastRenderedPageBreak/>
              <w:t>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lastRenderedPageBreak/>
              <w:t>10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lastRenderedPageBreak/>
              <w:t>7.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60</w:t>
            </w:r>
          </w:p>
        </w:tc>
      </w:tr>
      <w:tr w:rsidR="00F039EB" w:rsidRPr="00F039EB">
        <w:tc>
          <w:tcPr>
            <w:tcW w:w="510" w:type="dxa"/>
            <w:vMerge w:val="restart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8.</w:t>
            </w:r>
          </w:p>
        </w:tc>
        <w:tc>
          <w:tcPr>
            <w:tcW w:w="2154" w:type="dxa"/>
            <w:vMerge w:val="restart"/>
          </w:tcPr>
          <w:p w:rsidR="00577C53" w:rsidRPr="00F039EB" w:rsidRDefault="009250EB">
            <w:pPr>
              <w:pStyle w:val="ConsPlusNormal"/>
            </w:pPr>
            <w:r w:rsidRPr="00F039EB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</w:t>
            </w:r>
          </w:p>
        </w:tc>
      </w:tr>
      <w:tr w:rsidR="00F039EB" w:rsidRPr="00F039EB">
        <w:tc>
          <w:tcPr>
            <w:tcW w:w="510" w:type="dxa"/>
            <w:vMerge/>
          </w:tcPr>
          <w:p w:rsidR="00577C53" w:rsidRPr="00F039EB" w:rsidRDefault="00577C53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</w:tcPr>
          <w:p w:rsidR="00577C53" w:rsidRPr="00F039EB" w:rsidRDefault="00577C53">
            <w:pPr>
              <w:pStyle w:val="ConsPlusNormal"/>
              <w:ind w:firstLine="540"/>
              <w:jc w:val="both"/>
            </w:pP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9.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социальных услуг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10.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ритуальных услуг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11.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теплоснабжения (производство тепловой энергии)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12.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 xml:space="preserve">Рынок услуг по сбору и транспортированию твердых коммунальных </w:t>
            </w:r>
            <w:r w:rsidRPr="00F039EB">
              <w:lastRenderedPageBreak/>
              <w:t>отходов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lastRenderedPageBreak/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lastRenderedPageBreak/>
              <w:t>13.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выполнения работ по благоустройству городской среды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14.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15.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поставки сжиженного газа в баллонах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50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16.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17.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039EB">
              <w:t>когенерации</w:t>
            </w:r>
            <w:proofErr w:type="spellEnd"/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039EB">
              <w:t>когенерации</w:t>
            </w:r>
            <w:proofErr w:type="spellEnd"/>
            <w:r w:rsidRPr="00F039EB">
              <w:t>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18.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 xml:space="preserve">Рынок оказания услуг по перевозке пассажиров автомобильным транспортом по </w:t>
            </w:r>
            <w:r w:rsidRPr="00F039EB">
              <w:lastRenderedPageBreak/>
              <w:t>муниципальным маршрутам регулярных перевозок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lastRenderedPageBreak/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</w:t>
            </w:r>
            <w:r w:rsidRPr="00F039EB">
              <w:lastRenderedPageBreak/>
              <w:t>формы собственности,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lastRenderedPageBreak/>
              <w:t>20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lastRenderedPageBreak/>
              <w:t>19.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20.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70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21.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оказания услуг по ремонту автотранспортных средств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40</w:t>
            </w:r>
          </w:p>
        </w:tc>
      </w:tr>
      <w:tr w:rsidR="00F039EB" w:rsidRPr="00F039EB">
        <w:tc>
          <w:tcPr>
            <w:tcW w:w="510" w:type="dxa"/>
            <w:vMerge w:val="restart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22.</w:t>
            </w:r>
          </w:p>
        </w:tc>
        <w:tc>
          <w:tcPr>
            <w:tcW w:w="2154" w:type="dxa"/>
            <w:vMerge w:val="restart"/>
          </w:tcPr>
          <w:p w:rsidR="00577C53" w:rsidRPr="00F039EB" w:rsidRDefault="009250EB">
            <w:pPr>
              <w:pStyle w:val="ConsPlusNormal"/>
            </w:pPr>
            <w:r w:rsidRPr="00F039EB"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20</w:t>
            </w:r>
          </w:p>
        </w:tc>
      </w:tr>
      <w:tr w:rsidR="00F039EB" w:rsidRPr="00F039EB">
        <w:tc>
          <w:tcPr>
            <w:tcW w:w="510" w:type="dxa"/>
            <w:vMerge/>
          </w:tcPr>
          <w:p w:rsidR="00577C53" w:rsidRPr="00F039EB" w:rsidRDefault="00577C53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vMerge/>
          </w:tcPr>
          <w:p w:rsidR="00577C53" w:rsidRPr="00F039EB" w:rsidRDefault="00577C53">
            <w:pPr>
              <w:pStyle w:val="ConsPlusNormal"/>
              <w:ind w:firstLine="540"/>
              <w:jc w:val="both"/>
            </w:pP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98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23.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 xml:space="preserve">Рынок жилищного строительства (за исключением Московского фонда реновации жилой застройки и индивидуального жилищного </w:t>
            </w:r>
            <w:r w:rsidRPr="00F039EB">
              <w:lastRenderedPageBreak/>
              <w:t>строительства)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80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lastRenderedPageBreak/>
              <w:t>24.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80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25.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80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26.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архитектурно-строительного проектирования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80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27.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кадастровых и землеустроительных работ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80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28.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реализации сельскохозяйственной продукции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5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29.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30.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племенного животноводства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31.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семеноводства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20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32.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вылова водных биоресурсов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80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33.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 xml:space="preserve">Рынок переработки водных </w:t>
            </w:r>
            <w:r w:rsidRPr="00F039EB">
              <w:lastRenderedPageBreak/>
              <w:t>биоресурсов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lastRenderedPageBreak/>
              <w:t xml:space="preserve">доля организаций частной формы собственности на рынке переработки </w:t>
            </w:r>
            <w:r w:rsidRPr="00F039EB">
              <w:lastRenderedPageBreak/>
              <w:t>водных биоресурсов,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lastRenderedPageBreak/>
              <w:t>80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lastRenderedPageBreak/>
              <w:t>34.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 xml:space="preserve">Рынок </w:t>
            </w:r>
            <w:proofErr w:type="gramStart"/>
            <w:r w:rsidRPr="00F039EB">
              <w:t>товарной</w:t>
            </w:r>
            <w:proofErr w:type="gramEnd"/>
            <w:r w:rsidRPr="00F039EB">
              <w:t xml:space="preserve"> </w:t>
            </w:r>
            <w:proofErr w:type="spellStart"/>
            <w:r w:rsidRPr="00F039EB">
              <w:t>аквакультуры</w:t>
            </w:r>
            <w:proofErr w:type="spellEnd"/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 xml:space="preserve">доля организаций частной формы собственности на рынке товарной </w:t>
            </w:r>
            <w:proofErr w:type="spellStart"/>
            <w:r w:rsidRPr="00F039EB">
              <w:t>аквакультуры</w:t>
            </w:r>
            <w:proofErr w:type="spellEnd"/>
            <w:r w:rsidRPr="00F039EB">
              <w:t>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80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35.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80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36.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нефтепродуктов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90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37.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легкой промышленности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70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38.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обработки древесины и производства изделий из дерева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70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39.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производства кирпича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70</w:t>
            </w:r>
          </w:p>
        </w:tc>
      </w:tr>
      <w:tr w:rsidR="00F039EB" w:rsidRPr="00F039EB">
        <w:tc>
          <w:tcPr>
            <w:tcW w:w="51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40.</w:t>
            </w:r>
          </w:p>
        </w:tc>
        <w:tc>
          <w:tcPr>
            <w:tcW w:w="2154" w:type="dxa"/>
          </w:tcPr>
          <w:p w:rsidR="00577C53" w:rsidRPr="00F039EB" w:rsidRDefault="009250EB">
            <w:pPr>
              <w:pStyle w:val="ConsPlusNormal"/>
            </w:pPr>
            <w:r w:rsidRPr="00F039EB">
              <w:t>Рынок производства бетона</w:t>
            </w:r>
          </w:p>
        </w:tc>
        <w:tc>
          <w:tcPr>
            <w:tcW w:w="4535" w:type="dxa"/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70</w:t>
            </w:r>
          </w:p>
        </w:tc>
      </w:tr>
      <w:tr w:rsidR="00577C53" w:rsidRPr="00F039EB">
        <w:tc>
          <w:tcPr>
            <w:tcW w:w="510" w:type="dxa"/>
            <w:tcBorders>
              <w:bottom w:val="single" w:sz="4" w:space="0" w:color="auto"/>
            </w:tcBorders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41.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7C53" w:rsidRPr="00F039EB" w:rsidRDefault="009250EB">
            <w:pPr>
              <w:pStyle w:val="ConsPlusNormal"/>
            </w:pPr>
            <w:r w:rsidRPr="00F039EB">
              <w:t>Сфера наружной рекламы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77C53" w:rsidRPr="00F039EB" w:rsidRDefault="009250EB">
            <w:pPr>
              <w:pStyle w:val="ConsPlusNormal"/>
            </w:pPr>
            <w:r w:rsidRPr="00F039EB"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77C53" w:rsidRPr="00F039EB" w:rsidRDefault="009250EB">
            <w:pPr>
              <w:pStyle w:val="ConsPlusNormal"/>
              <w:jc w:val="center"/>
            </w:pPr>
            <w:r w:rsidRPr="00F039EB">
              <w:t>100</w:t>
            </w:r>
          </w:p>
        </w:tc>
      </w:tr>
    </w:tbl>
    <w:p w:rsidR="00577C53" w:rsidRPr="00F039EB" w:rsidRDefault="00577C53">
      <w:pPr>
        <w:pStyle w:val="ConsPlusNormal"/>
        <w:jc w:val="both"/>
      </w:pPr>
    </w:p>
    <w:sectPr w:rsidR="00577C53" w:rsidRPr="00F039EB" w:rsidSect="00DF55DC">
      <w:pgSz w:w="11906" w:h="16838"/>
      <w:pgMar w:top="851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D7" w:rsidRDefault="004B2DD7">
      <w:pPr>
        <w:spacing w:after="0" w:line="240" w:lineRule="auto"/>
      </w:pPr>
      <w:r>
        <w:separator/>
      </w:r>
    </w:p>
  </w:endnote>
  <w:endnote w:type="continuationSeparator" w:id="0">
    <w:p w:rsidR="004B2DD7" w:rsidRDefault="004B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D7" w:rsidRDefault="004B2DD7">
      <w:pPr>
        <w:spacing w:after="0" w:line="240" w:lineRule="auto"/>
      </w:pPr>
      <w:r>
        <w:separator/>
      </w:r>
    </w:p>
  </w:footnote>
  <w:footnote w:type="continuationSeparator" w:id="0">
    <w:p w:rsidR="004B2DD7" w:rsidRDefault="004B2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20"/>
    <w:rsid w:val="002C6C6D"/>
    <w:rsid w:val="004B2DD7"/>
    <w:rsid w:val="00577C53"/>
    <w:rsid w:val="007229F3"/>
    <w:rsid w:val="009250EB"/>
    <w:rsid w:val="009263B3"/>
    <w:rsid w:val="00973C94"/>
    <w:rsid w:val="00A35D72"/>
    <w:rsid w:val="00DC2F20"/>
    <w:rsid w:val="00DF55DC"/>
    <w:rsid w:val="00E86EDA"/>
    <w:rsid w:val="00F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5DC"/>
  </w:style>
  <w:style w:type="paragraph" w:styleId="a7">
    <w:name w:val="footer"/>
    <w:basedOn w:val="a"/>
    <w:link w:val="a8"/>
    <w:uiPriority w:val="99"/>
    <w:semiHidden/>
    <w:unhideWhenUsed/>
    <w:rsid w:val="00DF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5DC"/>
  </w:style>
  <w:style w:type="paragraph" w:styleId="a7">
    <w:name w:val="footer"/>
    <w:basedOn w:val="a"/>
    <w:link w:val="a8"/>
    <w:uiPriority w:val="99"/>
    <w:semiHidden/>
    <w:unhideWhenUsed/>
    <w:rsid w:val="00DF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4838&amp;date=23.04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04886&amp;date=23.04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12467</Words>
  <Characters>71063</Characters>
  <Application>Microsoft Office Word</Application>
  <DocSecurity>2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17.04.2019 N 768-р&lt;Об утверждении стандарта развития конкуренции в субъектах Российской Федерации&gt;</vt:lpstr>
    </vt:vector>
  </TitlesOfParts>
  <Company>КонсультантПлюс Версия 4018.00.10</Company>
  <LinksUpToDate>false</LinksUpToDate>
  <CharactersWithSpaces>83364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17.04.2019 N 768-р&lt;Об утверждении стандарта развития конкуренции в субъектах Российской Федерации&gt;</dc:title>
  <dc:creator>Elizarova.OY</dc:creator>
  <cp:lastModifiedBy>Балаева</cp:lastModifiedBy>
  <cp:revision>3</cp:revision>
  <cp:lastPrinted>2019-04-26T06:23:00Z</cp:lastPrinted>
  <dcterms:created xsi:type="dcterms:W3CDTF">2019-04-26T11:43:00Z</dcterms:created>
  <dcterms:modified xsi:type="dcterms:W3CDTF">2019-04-26T11:44:00Z</dcterms:modified>
</cp:coreProperties>
</file>