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195759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Территориальн</w:t>
      </w:r>
      <w:r>
        <w:rPr>
          <w:color w:val="000000"/>
          <w:sz w:val="26"/>
          <w:szCs w:val="26"/>
        </w:rPr>
        <w:t>ое</w:t>
      </w:r>
      <w:r w:rsidRPr="00CB2A57">
        <w:rPr>
          <w:color w:val="000000"/>
          <w:sz w:val="26"/>
          <w:szCs w:val="26"/>
        </w:rPr>
        <w:t xml:space="preserve"> управление</w:t>
      </w:r>
    </w:p>
    <w:p w:rsidR="00063199" w:rsidRDefault="00195759" w:rsidP="00063199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Федерально</w:t>
      </w:r>
      <w:r w:rsidR="00063199">
        <w:rPr>
          <w:color w:val="000000"/>
          <w:sz w:val="26"/>
          <w:szCs w:val="26"/>
        </w:rPr>
        <w:t>й</w:t>
      </w:r>
      <w:r w:rsidRPr="00CB2A57">
        <w:rPr>
          <w:color w:val="000000"/>
          <w:sz w:val="26"/>
          <w:szCs w:val="26"/>
        </w:rPr>
        <w:t xml:space="preserve"> </w:t>
      </w:r>
      <w:r w:rsidR="00063199">
        <w:rPr>
          <w:color w:val="000000"/>
          <w:sz w:val="26"/>
          <w:szCs w:val="26"/>
        </w:rPr>
        <w:t>службы финансово-</w:t>
      </w:r>
    </w:p>
    <w:p w:rsidR="00063199" w:rsidRDefault="0006319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бюджетного надзора </w:t>
      </w:r>
      <w:r w:rsidR="00195759" w:rsidRPr="00CB2A57">
        <w:rPr>
          <w:color w:val="000000"/>
          <w:sz w:val="26"/>
          <w:szCs w:val="26"/>
        </w:rPr>
        <w:t>в</w:t>
      </w:r>
      <w:r w:rsidR="00195759">
        <w:rPr>
          <w:color w:val="000000"/>
          <w:sz w:val="26"/>
          <w:szCs w:val="26"/>
        </w:rPr>
        <w:t xml:space="preserve"> </w:t>
      </w:r>
      <w:r w:rsidR="00195759" w:rsidRPr="00CB2A57">
        <w:rPr>
          <w:color w:val="000000"/>
          <w:sz w:val="26"/>
          <w:szCs w:val="26"/>
        </w:rPr>
        <w:t>Вологодской</w:t>
      </w:r>
    </w:p>
    <w:p w:rsidR="005F5BB1" w:rsidRDefault="00195759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области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160000 </w:t>
      </w:r>
      <w:r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Вологда</w:t>
      </w:r>
      <w:r w:rsidRPr="00AD45C7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ул. </w:t>
      </w:r>
      <w:r w:rsidR="00063199">
        <w:rPr>
          <w:sz w:val="26"/>
          <w:szCs w:val="26"/>
          <w:shd w:val="clear" w:color="auto" w:fill="FFFFFF"/>
        </w:rPr>
        <w:t>Герцена</w:t>
      </w:r>
      <w:r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2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63199">
        <w:rPr>
          <w:b/>
          <w:color w:val="000000"/>
          <w:sz w:val="26"/>
          <w:szCs w:val="26"/>
        </w:rPr>
        <w:t>11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5650EB">
        <w:rPr>
          <w:color w:val="000000"/>
          <w:sz w:val="26"/>
          <w:szCs w:val="26"/>
        </w:rPr>
        <w:t>5</w:t>
      </w:r>
      <w:r w:rsidR="00450A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5650EB">
        <w:rPr>
          <w:sz w:val="26"/>
          <w:szCs w:val="26"/>
        </w:rPr>
        <w:t>12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5650EB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5650EB">
      <w:pPr>
        <w:widowControl w:val="0"/>
        <w:ind w:right="176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Территориальным управлением </w:t>
      </w:r>
      <w:r w:rsidR="005650EB" w:rsidRPr="00CB2A57">
        <w:rPr>
          <w:color w:val="000000"/>
          <w:sz w:val="26"/>
          <w:szCs w:val="26"/>
        </w:rPr>
        <w:t>Федерально</w:t>
      </w:r>
      <w:r w:rsidR="005650EB">
        <w:rPr>
          <w:color w:val="000000"/>
          <w:sz w:val="26"/>
          <w:szCs w:val="26"/>
        </w:rPr>
        <w:t>й</w:t>
      </w:r>
      <w:r w:rsidR="005650EB" w:rsidRPr="00CB2A57">
        <w:rPr>
          <w:color w:val="000000"/>
          <w:sz w:val="26"/>
          <w:szCs w:val="26"/>
        </w:rPr>
        <w:t xml:space="preserve"> </w:t>
      </w:r>
      <w:r w:rsidR="005650EB">
        <w:rPr>
          <w:color w:val="000000"/>
          <w:sz w:val="26"/>
          <w:szCs w:val="26"/>
        </w:rPr>
        <w:t xml:space="preserve">службы финансово-бюджетного надзора </w:t>
      </w:r>
      <w:r w:rsidR="003E4F62" w:rsidRPr="00DD44C1">
        <w:rPr>
          <w:sz w:val="26"/>
          <w:szCs w:val="26"/>
        </w:rPr>
        <w:t>в 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5650E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8C31CB" w:rsidP="005650EB">
      <w:pPr>
        <w:widowControl w:val="0"/>
        <w:ind w:right="176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Территориальное управление </w:t>
      </w:r>
      <w:r w:rsidR="005650EB" w:rsidRPr="00CB2A57">
        <w:rPr>
          <w:color w:val="000000"/>
          <w:sz w:val="26"/>
          <w:szCs w:val="26"/>
        </w:rPr>
        <w:t>Федерально</w:t>
      </w:r>
      <w:r w:rsidR="005650EB">
        <w:rPr>
          <w:color w:val="000000"/>
          <w:sz w:val="26"/>
          <w:szCs w:val="26"/>
        </w:rPr>
        <w:t>й</w:t>
      </w:r>
      <w:r w:rsidR="005650EB" w:rsidRPr="00CB2A57">
        <w:rPr>
          <w:color w:val="000000"/>
          <w:sz w:val="26"/>
          <w:szCs w:val="26"/>
        </w:rPr>
        <w:t xml:space="preserve"> </w:t>
      </w:r>
      <w:r w:rsidR="005650EB">
        <w:rPr>
          <w:color w:val="000000"/>
          <w:sz w:val="26"/>
          <w:szCs w:val="26"/>
        </w:rPr>
        <w:t>службы финансово-бюджетного надзора</w:t>
      </w:r>
      <w:r w:rsidRPr="00DD44C1">
        <w:rPr>
          <w:sz w:val="26"/>
          <w:szCs w:val="26"/>
        </w:rPr>
        <w:t xml:space="preserve"> в Вологодской области (далее – Заказчик) представило информацию </w:t>
      </w:r>
      <w:r w:rsidRPr="00DD44C1">
        <w:rPr>
          <w:sz w:val="26"/>
          <w:szCs w:val="26"/>
        </w:rPr>
        <w:lastRenderedPageBreak/>
        <w:t xml:space="preserve">(исходящий номер </w:t>
      </w:r>
      <w:r w:rsidR="005650EB">
        <w:rPr>
          <w:sz w:val="26"/>
          <w:szCs w:val="26"/>
        </w:rPr>
        <w:t>30-01-24/4</w:t>
      </w:r>
      <w:r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12</w:t>
      </w:r>
      <w:r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Заказчик указал процент закупок, осуществленных для С</w:t>
      </w:r>
      <w:r w:rsidR="005650EB">
        <w:rPr>
          <w:sz w:val="26"/>
          <w:szCs w:val="26"/>
        </w:rPr>
        <w:t>МП/СОНО, равный 59.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</w:t>
      </w:r>
      <w:r w:rsidRPr="001939DB">
        <w:rPr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Pr="001939DB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>Инспекция изучила план-график Заказчика на 2014 год, проведенные конкурентные способы определения поставщиков и приходит к следующему выводу.</w:t>
      </w:r>
    </w:p>
    <w:p w:rsidR="006C7C35" w:rsidRPr="001939DB" w:rsidRDefault="006C7C3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>Аукционы в электронной форме № 0130100007414000011,</w:t>
      </w:r>
      <w:r w:rsidR="00142AB9" w:rsidRPr="001939DB">
        <w:rPr>
          <w:sz w:val="26"/>
          <w:szCs w:val="26"/>
        </w:rPr>
        <w:t xml:space="preserve"> 0130100007414000016</w:t>
      </w:r>
      <w:r w:rsidR="002729A8" w:rsidRPr="001939DB">
        <w:rPr>
          <w:sz w:val="26"/>
          <w:szCs w:val="26"/>
        </w:rPr>
        <w:t>, 0130100007414000018, 01301000007414000017, 0130100007414000002</w:t>
      </w:r>
      <w:r w:rsidR="002A0280">
        <w:rPr>
          <w:sz w:val="26"/>
          <w:szCs w:val="26"/>
        </w:rPr>
        <w:t>,</w:t>
      </w:r>
      <w:r w:rsidR="002729A8" w:rsidRPr="001939DB">
        <w:rPr>
          <w:sz w:val="26"/>
          <w:szCs w:val="26"/>
        </w:rPr>
        <w:t xml:space="preserve"> запрос</w:t>
      </w:r>
      <w:r w:rsidR="002A0280">
        <w:rPr>
          <w:sz w:val="26"/>
          <w:szCs w:val="26"/>
        </w:rPr>
        <w:t>ы</w:t>
      </w:r>
      <w:r w:rsidR="002729A8" w:rsidRPr="001939DB">
        <w:rPr>
          <w:sz w:val="26"/>
          <w:szCs w:val="26"/>
        </w:rPr>
        <w:t xml:space="preserve"> котировок № 0130100007414000007, 0130100007414000006</w:t>
      </w:r>
      <w:r w:rsidRPr="001939DB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признаны не</w:t>
      </w:r>
      <w:r w:rsidR="003C4A2A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состоявшимися и в рамках пункта 25 части 1 статьи 93 Закона о контрактной системе</w:t>
      </w:r>
      <w:r w:rsidR="002A0280" w:rsidRPr="002A0280">
        <w:rPr>
          <w:sz w:val="26"/>
          <w:szCs w:val="26"/>
        </w:rPr>
        <w:t xml:space="preserve"> </w:t>
      </w:r>
      <w:r w:rsidR="002A0280" w:rsidRPr="001939DB">
        <w:rPr>
          <w:sz w:val="26"/>
          <w:szCs w:val="26"/>
        </w:rPr>
        <w:t>заключены контракты</w:t>
      </w:r>
      <w:r w:rsidR="002A0280">
        <w:rPr>
          <w:sz w:val="26"/>
          <w:szCs w:val="26"/>
        </w:rPr>
        <w:t xml:space="preserve"> с единственным поставщиком</w:t>
      </w:r>
      <w:r w:rsidR="00F17F3B" w:rsidRPr="001939DB">
        <w:rPr>
          <w:sz w:val="26"/>
          <w:szCs w:val="26"/>
        </w:rPr>
        <w:t>.</w:t>
      </w:r>
    </w:p>
    <w:p w:rsidR="002729A8" w:rsidRPr="001939DB" w:rsidRDefault="002A0280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При этом Заказчик предоставил преимущество СМП и СОНО при проведении </w:t>
      </w:r>
      <w:r>
        <w:rPr>
          <w:sz w:val="26"/>
          <w:szCs w:val="26"/>
        </w:rPr>
        <w:t xml:space="preserve">закупок № </w:t>
      </w:r>
      <w:r w:rsidR="002729A8" w:rsidRPr="001939DB">
        <w:rPr>
          <w:sz w:val="26"/>
          <w:szCs w:val="26"/>
        </w:rPr>
        <w:t>0130100007414000006</w:t>
      </w:r>
      <w:r>
        <w:rPr>
          <w:sz w:val="26"/>
          <w:szCs w:val="26"/>
        </w:rPr>
        <w:t>,</w:t>
      </w:r>
      <w:r w:rsidR="002729A8" w:rsidRPr="001939DB">
        <w:rPr>
          <w:sz w:val="26"/>
          <w:szCs w:val="26"/>
        </w:rPr>
        <w:t xml:space="preserve"> 0130100007414000018</w:t>
      </w:r>
      <w:r>
        <w:rPr>
          <w:sz w:val="26"/>
          <w:szCs w:val="26"/>
        </w:rPr>
        <w:t>,</w:t>
      </w:r>
      <w:r w:rsidR="002729A8" w:rsidRPr="001939DB">
        <w:rPr>
          <w:sz w:val="26"/>
          <w:szCs w:val="26"/>
        </w:rPr>
        <w:t xml:space="preserve"> 0130100007414000016</w:t>
      </w:r>
      <w:r>
        <w:rPr>
          <w:sz w:val="26"/>
          <w:szCs w:val="26"/>
        </w:rPr>
        <w:t>.</w:t>
      </w:r>
    </w:p>
    <w:p w:rsidR="00F17F3B" w:rsidRPr="001939DB" w:rsidRDefault="00F17F3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>Открытый конкурс на оказание услуг ОСАГО проводился трижды. В двух случаях открытые конкурсы № 0130100007414000004 и 0130100007414000019 признаны не</w:t>
      </w:r>
      <w:r w:rsidR="003C4A2A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состоявшимися по причине отсутствия заявок. Повторный конкурс № 0130100007414000013 признан несостоявшимся</w:t>
      </w:r>
      <w:r w:rsidR="00142AB9" w:rsidRPr="001939DB">
        <w:rPr>
          <w:sz w:val="26"/>
          <w:szCs w:val="26"/>
        </w:rPr>
        <w:t>, так как</w:t>
      </w:r>
      <w:r w:rsidRPr="001939DB">
        <w:rPr>
          <w:sz w:val="26"/>
          <w:szCs w:val="26"/>
        </w:rPr>
        <w:t xml:space="preserve"> единственн</w:t>
      </w:r>
      <w:r w:rsidR="00142AB9" w:rsidRPr="001939DB">
        <w:rPr>
          <w:sz w:val="26"/>
          <w:szCs w:val="26"/>
        </w:rPr>
        <w:t>ая</w:t>
      </w:r>
      <w:r w:rsidRPr="001939DB">
        <w:rPr>
          <w:sz w:val="26"/>
          <w:szCs w:val="26"/>
        </w:rPr>
        <w:t xml:space="preserve"> заявк</w:t>
      </w:r>
      <w:r w:rsidR="00142AB9" w:rsidRPr="001939DB">
        <w:rPr>
          <w:sz w:val="26"/>
          <w:szCs w:val="26"/>
        </w:rPr>
        <w:t>а</w:t>
      </w:r>
      <w:r w:rsidRPr="001939DB">
        <w:rPr>
          <w:sz w:val="26"/>
          <w:szCs w:val="26"/>
        </w:rPr>
        <w:t xml:space="preserve"> не соответствую</w:t>
      </w:r>
      <w:r w:rsidR="00142AB9" w:rsidRPr="001939DB">
        <w:rPr>
          <w:sz w:val="26"/>
          <w:szCs w:val="26"/>
        </w:rPr>
        <w:t>т</w:t>
      </w:r>
      <w:r w:rsidRPr="001939DB">
        <w:rPr>
          <w:sz w:val="26"/>
          <w:szCs w:val="26"/>
        </w:rPr>
        <w:t xml:space="preserve"> требованиям документации. При этом Заказчик предоставил преимущество СМП и СОНО при проведении открытого конкурса № 0130100007414000004 и 0130100007414000013.</w:t>
      </w:r>
    </w:p>
    <w:p w:rsidR="00F17F3B" w:rsidRPr="001939DB" w:rsidRDefault="003E7B74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>Таким образом, объем закупок проведенных у СМП и СОНО равен 0.</w:t>
      </w:r>
      <w:r w:rsidR="001939DB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Заказчик допустил нарушение части 1 статьи 30 Закона о контрактной системе, не осуществив закупки у СМП и СОНО до 15 %.</w:t>
      </w:r>
    </w:p>
    <w:p w:rsidR="001939DB" w:rsidRPr="003C4A2A" w:rsidRDefault="001939DB" w:rsidP="003C4A2A">
      <w:pPr>
        <w:pStyle w:val="2"/>
        <w:ind w:firstLine="851"/>
        <w:contextualSpacing/>
      </w:pPr>
      <w:r w:rsidRPr="001939DB">
        <w:t>Судебная практика рассмотрения споров, связанных с закупками товаров (работ, услуг) для государственных нужд, сформированная Высшим Арбитражным Судом Российской Федерации, содержащаяся, в частности, в определении от 29.08.2013 № ВАС-12184/13, исходит из недопустимости формального подхода к оценке нарушений без установления связанных с ними обстоятельств.</w:t>
      </w:r>
      <w:r w:rsidRPr="001939DB">
        <w:cr/>
        <w:t xml:space="preserve"> </w:t>
      </w:r>
      <w:r w:rsidRPr="001939DB">
        <w:tab/>
        <w:t xml:space="preserve">  В рассматриваемом случае формально имеет место нарушение Закона о контрактной системе, нарушение допущено Заказчиком. Имеющее место нарушение не привело </w:t>
      </w:r>
      <w:r w:rsidRPr="003C4A2A">
        <w:t xml:space="preserve">к необоснованному ограничению круга участников закупки или неверному определению лица, с которым должен быть заключён контракт. </w:t>
      </w:r>
    </w:p>
    <w:p w:rsidR="001939DB" w:rsidRPr="003C4A2A" w:rsidRDefault="001939DB" w:rsidP="003C4A2A">
      <w:pPr>
        <w:pStyle w:val="2"/>
        <w:ind w:firstLine="851"/>
        <w:contextualSpacing/>
      </w:pPr>
      <w:r w:rsidRPr="003C4A2A">
        <w:t xml:space="preserve">Заказчик предпринял все действия по соблюдению норм Закона о контрактной системе, а именно неоднократно публиковал закупки для СМП и СОНО.  </w:t>
      </w:r>
    </w:p>
    <w:p w:rsidR="001939DB" w:rsidRPr="003C4A2A" w:rsidRDefault="001939DB" w:rsidP="003C4A2A">
      <w:pPr>
        <w:pStyle w:val="2"/>
        <w:ind w:firstLine="851"/>
        <w:contextualSpacing/>
      </w:pPr>
      <w:r w:rsidRPr="003C4A2A">
        <w:t>Открытость и публичность закупок обеспечена путём размещения документации на официальном сайте.</w:t>
      </w:r>
    </w:p>
    <w:p w:rsidR="003C4A2A" w:rsidRPr="003C4A2A" w:rsidRDefault="003C4A2A" w:rsidP="003C4A2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Согласно статье 107 Закона о контрактной системе лица, виновные в нарушении законодательства Российской Федерации и иных нормативных правовых актов о контрактной системе в сфере закупок, несут административную ответственность.</w:t>
      </w:r>
    </w:p>
    <w:p w:rsidR="003C4A2A" w:rsidRPr="003C4A2A" w:rsidRDefault="003C4A2A" w:rsidP="003C4A2A">
      <w:pPr>
        <w:pStyle w:val="ad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Состав административного правонарушения образуют четыре элемента:</w:t>
      </w:r>
    </w:p>
    <w:p w:rsidR="003C4A2A" w:rsidRPr="003C4A2A" w:rsidRDefault="003C4A2A" w:rsidP="003C4A2A">
      <w:pPr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Объект правонарушения — те</w:t>
      </w:r>
      <w:r w:rsidRPr="003C4A2A">
        <w:rPr>
          <w:rStyle w:val="apple-converted-space"/>
          <w:sz w:val="26"/>
          <w:szCs w:val="26"/>
        </w:rPr>
        <w:t> </w:t>
      </w:r>
      <w:hyperlink r:id="rId14" w:tooltip="Общественные отношения" w:history="1">
        <w:r w:rsidRPr="003C4A2A">
          <w:rPr>
            <w:rStyle w:val="a4"/>
            <w:color w:val="auto"/>
            <w:sz w:val="26"/>
            <w:szCs w:val="26"/>
            <w:u w:val="none"/>
          </w:rPr>
          <w:t>общественные отношения</w:t>
        </w:r>
      </w:hyperlink>
      <w:r w:rsidRPr="003C4A2A">
        <w:rPr>
          <w:sz w:val="26"/>
          <w:szCs w:val="26"/>
        </w:rPr>
        <w:t>, которые оно нарушает.</w:t>
      </w:r>
    </w:p>
    <w:p w:rsidR="003C4A2A" w:rsidRPr="003C4A2A" w:rsidRDefault="003C4A2A" w:rsidP="003C4A2A">
      <w:pPr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Объективная сторона правонарушения — признаки конкретного деяния, его возможные последствия,</w:t>
      </w:r>
      <w:r w:rsidRPr="003C4A2A">
        <w:rPr>
          <w:rStyle w:val="apple-converted-space"/>
          <w:sz w:val="26"/>
          <w:szCs w:val="26"/>
        </w:rPr>
        <w:t> </w:t>
      </w:r>
      <w:hyperlink r:id="rId15" w:tooltip="Причинная связь" w:history="1">
        <w:r w:rsidRPr="003C4A2A">
          <w:rPr>
            <w:rStyle w:val="a4"/>
            <w:color w:val="auto"/>
            <w:sz w:val="26"/>
            <w:szCs w:val="26"/>
            <w:u w:val="none"/>
          </w:rPr>
          <w:t>причинная связь</w:t>
        </w:r>
      </w:hyperlink>
      <w:r w:rsidRPr="003C4A2A">
        <w:rPr>
          <w:rStyle w:val="apple-converted-space"/>
          <w:sz w:val="26"/>
          <w:szCs w:val="26"/>
        </w:rPr>
        <w:t> </w:t>
      </w:r>
      <w:r w:rsidRPr="003C4A2A">
        <w:rPr>
          <w:sz w:val="26"/>
          <w:szCs w:val="26"/>
        </w:rPr>
        <w:t>между деянием и последствиями.</w:t>
      </w:r>
    </w:p>
    <w:p w:rsidR="003C4A2A" w:rsidRPr="003C4A2A" w:rsidRDefault="003C4A2A" w:rsidP="003C4A2A">
      <w:pPr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Субъект правонарушения — физическое (в том числе</w:t>
      </w:r>
      <w:r w:rsidRPr="003C4A2A">
        <w:rPr>
          <w:rStyle w:val="apple-converted-space"/>
          <w:sz w:val="26"/>
          <w:szCs w:val="26"/>
        </w:rPr>
        <w:t> </w:t>
      </w:r>
      <w:hyperlink r:id="rId16" w:tooltip="Должностное лицо" w:history="1">
        <w:r w:rsidRPr="003C4A2A">
          <w:rPr>
            <w:rStyle w:val="a4"/>
            <w:color w:val="auto"/>
            <w:sz w:val="26"/>
            <w:szCs w:val="26"/>
            <w:u w:val="none"/>
          </w:rPr>
          <w:t>должностное</w:t>
        </w:r>
      </w:hyperlink>
      <w:r w:rsidRPr="003C4A2A">
        <w:rPr>
          <w:sz w:val="26"/>
          <w:szCs w:val="26"/>
        </w:rPr>
        <w:t>) лицо, обладающее признаком</w:t>
      </w:r>
      <w:r w:rsidRPr="003C4A2A">
        <w:rPr>
          <w:rStyle w:val="apple-converted-space"/>
          <w:sz w:val="26"/>
          <w:szCs w:val="26"/>
        </w:rPr>
        <w:t> </w:t>
      </w:r>
      <w:hyperlink r:id="rId17" w:tooltip="Вменяемость" w:history="1">
        <w:r w:rsidRPr="003C4A2A">
          <w:rPr>
            <w:rStyle w:val="a4"/>
            <w:color w:val="auto"/>
            <w:sz w:val="26"/>
            <w:szCs w:val="26"/>
            <w:u w:val="none"/>
          </w:rPr>
          <w:t>вменяемости</w:t>
        </w:r>
      </w:hyperlink>
      <w:r w:rsidRPr="003C4A2A">
        <w:rPr>
          <w:rStyle w:val="apple-converted-space"/>
          <w:sz w:val="26"/>
          <w:szCs w:val="26"/>
        </w:rPr>
        <w:t> </w:t>
      </w:r>
      <w:r w:rsidRPr="003C4A2A">
        <w:rPr>
          <w:sz w:val="26"/>
          <w:szCs w:val="26"/>
        </w:rPr>
        <w:t>и достигшее определённого возраста или</w:t>
      </w:r>
      <w:r w:rsidRPr="003C4A2A">
        <w:rPr>
          <w:rStyle w:val="apple-converted-space"/>
          <w:sz w:val="26"/>
          <w:szCs w:val="26"/>
        </w:rPr>
        <w:t> </w:t>
      </w:r>
      <w:hyperlink r:id="rId18" w:tooltip="Юридическое лицо" w:history="1">
        <w:r w:rsidRPr="003C4A2A">
          <w:rPr>
            <w:rStyle w:val="a4"/>
            <w:color w:val="auto"/>
            <w:sz w:val="26"/>
            <w:szCs w:val="26"/>
            <w:u w:val="none"/>
          </w:rPr>
          <w:t>юридическое лицо</w:t>
        </w:r>
      </w:hyperlink>
      <w:r w:rsidRPr="003C4A2A">
        <w:rPr>
          <w:sz w:val="26"/>
          <w:szCs w:val="26"/>
        </w:rPr>
        <w:t>.</w:t>
      </w:r>
    </w:p>
    <w:p w:rsidR="003C4A2A" w:rsidRPr="003C4A2A" w:rsidRDefault="003C4A2A" w:rsidP="003C4A2A">
      <w:pPr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3C4A2A">
        <w:rPr>
          <w:sz w:val="26"/>
          <w:szCs w:val="26"/>
        </w:rPr>
        <w:t>Субъективная сторона правонарушения —</w:t>
      </w:r>
      <w:r w:rsidRPr="003C4A2A">
        <w:rPr>
          <w:rStyle w:val="apple-converted-space"/>
          <w:sz w:val="26"/>
          <w:szCs w:val="26"/>
        </w:rPr>
        <w:t> </w:t>
      </w:r>
      <w:hyperlink r:id="rId19" w:tooltip="Вина (право)" w:history="1">
        <w:r w:rsidRPr="003C4A2A">
          <w:rPr>
            <w:rStyle w:val="a4"/>
            <w:color w:val="auto"/>
            <w:sz w:val="26"/>
            <w:szCs w:val="26"/>
            <w:u w:val="none"/>
          </w:rPr>
          <w:t>вина</w:t>
        </w:r>
      </w:hyperlink>
      <w:r w:rsidRPr="003C4A2A">
        <w:rPr>
          <w:rStyle w:val="apple-converted-space"/>
          <w:sz w:val="26"/>
          <w:szCs w:val="26"/>
        </w:rPr>
        <w:t> </w:t>
      </w:r>
      <w:r w:rsidRPr="003C4A2A">
        <w:rPr>
          <w:sz w:val="26"/>
          <w:szCs w:val="26"/>
        </w:rPr>
        <w:t>в форме умысла или неосторожности, цель.</w:t>
      </w:r>
    </w:p>
    <w:p w:rsidR="003C4A2A" w:rsidRPr="003C4A2A" w:rsidRDefault="003C4A2A" w:rsidP="003C4A2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3C4A2A" w:rsidRPr="003C4A2A" w:rsidRDefault="003C4A2A" w:rsidP="003C4A2A">
      <w:pPr>
        <w:pStyle w:val="2"/>
        <w:ind w:firstLine="851"/>
        <w:contextualSpacing/>
      </w:pPr>
      <w:r w:rsidRPr="003C4A2A">
        <w:lastRenderedPageBreak/>
        <w:t>Инспекция считает, что отсутствует состав административного правонарушения, а именно субъективная и объективная сторона.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применять меры административного реагирования ввиду отсутствия субъективной и объективной сторон правонарушения.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20"/>
      <w:headerReference w:type="default" r:id="rId21"/>
      <w:headerReference w:type="first" r:id="rId22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B0" w:rsidRDefault="00E45BB0">
      <w:r>
        <w:separator/>
      </w:r>
    </w:p>
  </w:endnote>
  <w:endnote w:type="continuationSeparator" w:id="1">
    <w:p w:rsidR="00E45BB0" w:rsidRDefault="00E4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B0" w:rsidRDefault="00E45BB0">
      <w:r>
        <w:separator/>
      </w:r>
    </w:p>
  </w:footnote>
  <w:footnote w:type="continuationSeparator" w:id="1">
    <w:p w:rsidR="00E45BB0" w:rsidRDefault="00E4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A6B9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A6B9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A2A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B9A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hyperlink" Target="https://ru.wikipedia.org/wiki/%D0%AE%D1%80%D0%B8%D0%B4%D0%B8%D1%87%D0%B5%D1%81%D0%BA%D0%BE%D0%B5_%D0%BB%D0%B8%D1%86%D0%B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hyperlink" Target="https://ru.wikipedia.org/wiki/%D0%92%D0%BC%D0%B5%D0%BD%D1%8F%D0%B5%D0%BC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B%D0%B6%D0%BD%D0%BE%D1%81%D1%82%D0%BD%D0%BE%D0%B5_%D0%BB%D0%B8%D1%86%D0%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8%D1%87%D0%B8%D0%BD%D0%BD%D0%B0%D1%8F_%D1%81%D0%B2%D1%8F%D0%B7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19" Type="http://schemas.openxmlformats.org/officeDocument/2006/relationships/hyperlink" Target="https://ru.wikipedia.org/wiki/%D0%92%D0%B8%D0%BD%D0%B0_(%D0%BF%D1%80%D0%B0%D0%B2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10711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8</cp:revision>
  <cp:lastPrinted>2013-02-06T04:32:00Z</cp:lastPrinted>
  <dcterms:created xsi:type="dcterms:W3CDTF">2015-02-05T10:23:00Z</dcterms:created>
  <dcterms:modified xsi:type="dcterms:W3CDTF">2015-02-05T11:31:00Z</dcterms:modified>
</cp:coreProperties>
</file>