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544C9C"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 xml:space="preserve">перевозчика(ов)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w:t>
      </w:r>
      <w:r w:rsidRPr="00B243F6">
        <w:rPr>
          <w:rFonts w:ascii="Times New Roman" w:eastAsia="Times New Roman" w:hAnsi="Times New Roman" w:cs="Times New Roman"/>
          <w:b/>
          <w:sz w:val="28"/>
          <w:szCs w:val="28"/>
        </w:rPr>
        <w:lastRenderedPageBreak/>
        <w:t>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w:t>
      </w:r>
      <w:r w:rsidRPr="00B243F6">
        <w:rPr>
          <w:rFonts w:ascii="Times New Roman" w:eastAsia="Times New Roman" w:hAnsi="Times New Roman" w:cs="Times New Roman"/>
          <w:b/>
          <w:color w:val="000000"/>
          <w:sz w:val="28"/>
          <w:szCs w:val="28"/>
          <w:shd w:val="clear" w:color="auto" w:fill="FFFFFF"/>
        </w:rPr>
        <w:lastRenderedPageBreak/>
        <w:t>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w:t>
      </w:r>
      <w:r w:rsidRPr="00B243F6">
        <w:rPr>
          <w:rFonts w:ascii="Times New Roman" w:eastAsia="MS Mincho" w:hAnsi="Times New Roman" w:cs="Times New Roman"/>
          <w:sz w:val="28"/>
          <w:szCs w:val="28"/>
          <w:lang w:eastAsia="ru-RU"/>
        </w:rPr>
        <w:lastRenderedPageBreak/>
        <w:t>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w:t>
      </w:r>
      <w:r w:rsidRPr="00B243F6">
        <w:rPr>
          <w:rFonts w:ascii="Times New Roman" w:eastAsia="MS Mincho" w:hAnsi="Times New Roman" w:cs="Times New Roman"/>
          <w:color w:val="000000"/>
          <w:sz w:val="28"/>
          <w:szCs w:val="28"/>
          <w:lang w:eastAsia="ru-RU"/>
        </w:rPr>
        <w:lastRenderedPageBreak/>
        <w:t>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w:t>
      </w:r>
      <w:r w:rsidRPr="00B243F6">
        <w:rPr>
          <w:rFonts w:ascii="Times New Roman" w:eastAsia="MS Mincho" w:hAnsi="Times New Roman" w:cs="Times New Roman"/>
          <w:sz w:val="28"/>
          <w:szCs w:val="28"/>
          <w:lang w:eastAsia="ru-RU"/>
        </w:rPr>
        <w:lastRenderedPageBreak/>
        <w:t>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lastRenderedPageBreak/>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 xml:space="preserve">в коллегиальном органе решения и предписания, принятые территориальным антимонопольным органом в </w:t>
      </w:r>
      <w:r w:rsidRPr="00B243F6">
        <w:rPr>
          <w:rFonts w:ascii="Times New Roman" w:eastAsia="Times New Roman" w:hAnsi="Times New Roman" w:cs="Times New Roman"/>
          <w:sz w:val="28"/>
          <w:szCs w:val="28"/>
        </w:rPr>
        <w:lastRenderedPageBreak/>
        <w:t>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6 статьи 23 Федерального закона «О защите конкуренции» и в соответствии с общими правилами действующего </w:t>
      </w:r>
      <w:r w:rsidRPr="00B243F6">
        <w:rPr>
          <w:rFonts w:ascii="Times New Roman" w:eastAsia="Times New Roman" w:hAnsi="Times New Roman" w:cs="Times New Roman"/>
          <w:sz w:val="28"/>
          <w:szCs w:val="28"/>
        </w:rPr>
        <w:lastRenderedPageBreak/>
        <w:t>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544C9C">
        <w:pPr>
          <w:pStyle w:val="a6"/>
          <w:jc w:val="center"/>
        </w:pPr>
        <w:r>
          <w:fldChar w:fldCharType="begin"/>
        </w:r>
        <w:r w:rsidR="009746F9">
          <w:instrText>PAGE   \* MERGEFORMAT</w:instrText>
        </w:r>
        <w:r>
          <w:fldChar w:fldCharType="separate"/>
        </w:r>
        <w:r w:rsidR="008332E2">
          <w:rPr>
            <w:noProof/>
          </w:rPr>
          <w:t>6</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32233"/>
    <w:rsid w:val="000B72A0"/>
    <w:rsid w:val="000E6392"/>
    <w:rsid w:val="0015341E"/>
    <w:rsid w:val="001E163F"/>
    <w:rsid w:val="00245C27"/>
    <w:rsid w:val="003551B0"/>
    <w:rsid w:val="00361F88"/>
    <w:rsid w:val="00401C4A"/>
    <w:rsid w:val="00426657"/>
    <w:rsid w:val="004536AF"/>
    <w:rsid w:val="00544C9C"/>
    <w:rsid w:val="0057567A"/>
    <w:rsid w:val="00582129"/>
    <w:rsid w:val="005C629F"/>
    <w:rsid w:val="0064464E"/>
    <w:rsid w:val="00771783"/>
    <w:rsid w:val="007721EE"/>
    <w:rsid w:val="00797FDC"/>
    <w:rsid w:val="008332E2"/>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66D4-2F17-4F20-BE42-667DEC70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136</Pages>
  <Words>52184</Words>
  <Characters>297449</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Лукичева</cp:lastModifiedBy>
  <cp:revision>2</cp:revision>
  <cp:lastPrinted>2017-05-30T15:02:00Z</cp:lastPrinted>
  <dcterms:created xsi:type="dcterms:W3CDTF">2017-10-31T06:08:00Z</dcterms:created>
  <dcterms:modified xsi:type="dcterms:W3CDTF">2017-10-31T06:08:00Z</dcterms:modified>
</cp:coreProperties>
</file>